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Redacted under FOIA section 43, Commercial Interests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RM6134 Media Monitoring and Associated Services Framework 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v3.2</w:t>
      <w:tab/>
      <w:tab/>
      <w:tab/>
      <w:t xml:space="preserve"> 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2020</w:t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N8CgaBGIs7CY2cyixfIsyISwnw==">CgMxLjAyCGguZ2pkZ3hzOAByITFKcFVfSWlQTURXcVhJZGVyWVI0ZkRLb0NBRUw4cmh2ag==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2023-06-22T15:52:00Z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